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77BE" w:rsidRDefault="009618C1" w:rsidP="009618C1">
      <w:pPr>
        <w:ind w:firstLine="709"/>
      </w:pPr>
      <w:r w:rsidRPr="004F64C8">
        <w:rPr>
          <w:b/>
        </w:rPr>
        <w:t>Сеть наблюд</w:t>
      </w:r>
      <w:r w:rsidR="00716A86" w:rsidRPr="004F64C8">
        <w:rPr>
          <w:b/>
        </w:rPr>
        <w:t>ения и лабораторного контроля (СНЛК)</w:t>
      </w:r>
      <w:r w:rsidR="00716A86">
        <w:t xml:space="preserve"> является составной частью сил и средств наблюдения и контроля РСЧС.</w:t>
      </w:r>
    </w:p>
    <w:p w:rsidR="009618C1" w:rsidRDefault="009618C1" w:rsidP="009618C1">
      <w:pPr>
        <w:ind w:firstLine="709"/>
      </w:pPr>
      <w:r>
        <w:t>Мероприятия, проводимые СНЛК позволяют своевременно обнаруживать и индицировать радиоактивное, химическое и биологическое заражение питьевой воды, продовольствия, воздуха, почвы; а так же экстренно принять меры по защите населения, продуктов питания, воды и социально важных объектов от АХОВ.</w:t>
      </w:r>
    </w:p>
    <w:p w:rsidR="00716A86" w:rsidRDefault="009618C1" w:rsidP="009618C1">
      <w:pPr>
        <w:ind w:firstLine="709"/>
      </w:pPr>
      <w:r>
        <w:t xml:space="preserve">Готовность учреждений СНЛК к решению возложенных на них задач обеспечивается за счет подготовки (обучения) специалистов и оснащенность отделов, лабораторий, станций и постов необходимым оборудованием, приборами и методиками. Наиболее подготовленные учреждения СНЛК приводятся в готовность за время, составляющее менее 8 часов. </w:t>
      </w:r>
    </w:p>
    <w:p w:rsidR="009618C1" w:rsidRDefault="009618C1" w:rsidP="009618C1">
      <w:pPr>
        <w:ind w:firstLine="709"/>
      </w:pPr>
      <w:r>
        <w:t>СНЛК имеет три уровня: федеральный, региональный и местный.</w:t>
      </w:r>
    </w:p>
    <w:p w:rsidR="009618C1" w:rsidRDefault="001A160E" w:rsidP="009618C1">
      <w:pPr>
        <w:ind w:firstLine="709"/>
      </w:pPr>
      <w:r>
        <w:t>Местный уровень СНЛК формируется на основе учреждений, организаций, профильных центров, функционирующих на соответствующей территории. Координацию деятельности на местном уровне осуществляют комиссии по ЧС органов местного самоуправления и штабы по делам ГОЧС.</w:t>
      </w:r>
    </w:p>
    <w:p w:rsidR="001A160E" w:rsidRDefault="001A160E" w:rsidP="009618C1">
      <w:pPr>
        <w:ind w:firstLine="709"/>
      </w:pPr>
      <w:r>
        <w:t xml:space="preserve">Согласно постановлению главы города Комсомольска-на-Амуре от 28 апреля 2015 года № 79 «О сети наблюдения и лабораторного контроля муниципального образования городского округа «Город Комсомольск-на-Амуре» в перечень учреждений (организаций) СНЛК входят: территориальный отдел управления </w:t>
      </w:r>
      <w:proofErr w:type="spellStart"/>
      <w:r>
        <w:t>Роспотребнадзора</w:t>
      </w:r>
      <w:proofErr w:type="spellEnd"/>
      <w:r>
        <w:t xml:space="preserve"> по Хабаровскому краю в городе Комсомольске-на-Амуре, Амурском, Солнечном, им. Полины Осипенко районах; филиал Федерального бюджетного учреждения здравоохранения «Центр гигиены и эпидемиологии в Хабаровском крае, городе Комсомольске-на-Амуре, Комсомольском районе»; Комсомольский филиал «Федерального бюджетного учреждения здравоохранения «Центр гигиены и эпидемиологи по железнодорожному транспорту»</w:t>
      </w:r>
      <w:r w:rsidR="00B93B41">
        <w:t>; Федеральное государственное бюджетное учреждение здравоохранения «Центр гигиены и эпидемиологии N 99 Федерального медико-биологического агентства»; краевое государственное бюджетное учреждение «Комсомольская городская станция по борьбе с болезнями животных»; комплексная лаборатория мониторинга загрязнения природной среды г. Комсомольска-на-Амуре; производственные (объектовые) лаборатории; посты радиационного и химического наблюдения объектов экономики муниципального образования городского округа «Город Комсомольск-на-Амуре» независимо от ведомственной принадлежности и форм собственности.</w:t>
      </w:r>
    </w:p>
    <w:p w:rsidR="00B93B41" w:rsidRDefault="00B93B41" w:rsidP="009618C1">
      <w:pPr>
        <w:ind w:firstLine="709"/>
      </w:pPr>
      <w:r>
        <w:t>Общее количество учреждений (организаций) СНЛК составляет 11 наименований, из них 5 постов радиационного и химического наблюдения объектов экономики города (в основном это крупные производственные предприятия).</w:t>
      </w:r>
    </w:p>
    <w:p w:rsidR="00B93B41" w:rsidRDefault="00B93B41" w:rsidP="009618C1">
      <w:pPr>
        <w:ind w:firstLine="709"/>
      </w:pPr>
      <w:r>
        <w:t xml:space="preserve">Учреждения СНЛК города Комсомольска-на-Амуре укомплектованы специалистами и оборудованием на 70 %, от необходимого количества. </w:t>
      </w:r>
    </w:p>
    <w:p w:rsidR="004F64C8" w:rsidRDefault="004F64C8" w:rsidP="009618C1">
      <w:pPr>
        <w:ind w:firstLine="709"/>
      </w:pPr>
    </w:p>
    <w:p w:rsidR="004F64C8" w:rsidRDefault="004F64C8" w:rsidP="009618C1">
      <w:pPr>
        <w:ind w:firstLine="709"/>
      </w:pPr>
      <w:r>
        <w:rPr>
          <w:noProof/>
          <w:lang w:eastAsia="ru-RU"/>
        </w:rPr>
        <w:lastRenderedPageBreak/>
        <w:drawing>
          <wp:inline distT="0" distB="0" distL="0" distR="0">
            <wp:extent cx="4450592" cy="4797815"/>
            <wp:effectExtent l="19050" t="0" r="7108" b="0"/>
            <wp:docPr id="1" name="Рисунок 1" descr="C:\Users\Akinfieva\Desktop\к статье по снлк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kinfieva\Desktop\к статье по снлк2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0980" cy="4798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F64C8" w:rsidRDefault="004F64C8" w:rsidP="009618C1">
      <w:pPr>
        <w:ind w:firstLine="709"/>
      </w:pPr>
      <w:r>
        <w:rPr>
          <w:noProof/>
          <w:lang w:eastAsia="ru-RU"/>
        </w:rPr>
        <w:drawing>
          <wp:inline distT="0" distB="0" distL="0" distR="0">
            <wp:extent cx="4442316" cy="3336878"/>
            <wp:effectExtent l="19050" t="0" r="0" b="0"/>
            <wp:docPr id="2" name="Рисунок 2" descr="C:\Users\Akinfieva\Desktop\к статье по снлк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kinfieva\Desktop\к статье по снлк3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1805" cy="3336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F64C8" w:rsidSect="00B93B41">
      <w:pgSz w:w="11906" w:h="16838"/>
      <w:pgMar w:top="284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characterSpacingControl w:val="doNotCompress"/>
  <w:compat/>
  <w:rsids>
    <w:rsidRoot w:val="00716A86"/>
    <w:rsid w:val="000D08CD"/>
    <w:rsid w:val="001A160E"/>
    <w:rsid w:val="004F64C8"/>
    <w:rsid w:val="005E4CF8"/>
    <w:rsid w:val="00716A86"/>
    <w:rsid w:val="008065EE"/>
    <w:rsid w:val="00912786"/>
    <w:rsid w:val="009618C1"/>
    <w:rsid w:val="00B37E77"/>
    <w:rsid w:val="00B93B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65EE"/>
    <w:pPr>
      <w:spacing w:after="0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93B4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93B4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Akinfieva</dc:creator>
  <cp:lastModifiedBy>Akinfieva</cp:lastModifiedBy>
  <cp:revision>1</cp:revision>
  <cp:lastPrinted>2017-12-07T05:24:00Z</cp:lastPrinted>
  <dcterms:created xsi:type="dcterms:W3CDTF">2017-12-07T04:38:00Z</dcterms:created>
  <dcterms:modified xsi:type="dcterms:W3CDTF">2017-12-07T05:31:00Z</dcterms:modified>
</cp:coreProperties>
</file>